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440"/>
        <w:gridCol w:w="9216"/>
      </w:tblGrid>
      <w:tr>
        <w:tc>
          <w:tcPr>
            <w:tcW w:type="dxa" w:w="5184"/>
            <w:tcMar>
              <w:top w:w="50" w:type="dxa"/>
              <w:start w:w="20" w:type="dxa"/>
              <w:bottom w:w="60" w:type="dxa"/>
              <w:end w:w="20" w:type="dxa"/>
            </w:tcMar>
          </w:tcPr>
          <w:p>
            <w:r>
              <w:drawing>
                <wp:inline xmlns:a="http://schemas.openxmlformats.org/drawingml/2006/main" xmlns:pic="http://schemas.openxmlformats.org/drawingml/2006/picture">
                  <wp:extent cx="438912" cy="438912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Vary_icon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912" cy="438912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184"/>
            <w:tcMar>
              <w:top w:w="50" w:type="dxa"/>
              <w:start w:w="20" w:type="dxa"/>
              <w:bottom w:w="60" w:type="dxa"/>
              <w:end w:w="20" w:type="dxa"/>
            </w:tcMar>
          </w:tcPr>
          <w:p>
            <w:pPr>
              <w:jc w:val="left"/>
            </w:pPr>
            <w:r>
              <w:rPr>
                <w:b/>
                <w:color w:val="082B58"/>
                <w:sz w:val="34"/>
              </w:rPr>
              <w:t>LogoVary</w:t>
            </w:r>
            <w:r>
              <w:rPr>
                <w:color w:val="60758A"/>
                <w:sz w:val="17"/>
              </w:rPr>
              <w:br/>
              <w:t>Affiliate Promo Kit · HelpfulByte</w:t>
            </w:r>
          </w:p>
        </w:tc>
      </w:tr>
    </w:tbl>
    <w:p/>
    <w:p>
      <w:pPr>
        <w:pStyle w:val="Title"/>
        <w:jc w:val="left"/>
      </w:pPr>
      <w:r>
        <w:t>Features &amp; Benefits</w:t>
      </w:r>
    </w:p>
    <w:p>
      <w:pPr>
        <w:spacing w:after="240"/>
      </w:pPr>
      <w:r>
        <w:rPr>
          <w:i/>
          <w:color w:val="60758A"/>
          <w:sz w:val="22"/>
        </w:rPr>
        <w:t>Copy-ready feature statements paired with the practical customer benefit.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5184"/>
        <w:gridCol w:w="5184"/>
      </w:tblGrid>
      <w:tr>
        <w:trPr>
          <w:tblHeader w:val="true"/>
        </w:trPr>
        <w:tc>
          <w:tcPr>
            <w:tcW w:type="dxa" w:w="5184"/>
            <w:shd w:fill="0873EF"/>
          </w:tcPr>
          <w:p>
            <w:r>
              <w:rPr>
                <w:b/>
                <w:color w:val="FFFFFF"/>
              </w:rPr>
              <w:t>Feature</w:t>
            </w:r>
          </w:p>
        </w:tc>
        <w:tc>
          <w:tcPr>
            <w:tcW w:type="dxa" w:w="5184"/>
            <w:shd w:fill="0873EF"/>
          </w:tcPr>
          <w:p>
            <w:r>
              <w:rPr>
                <w:b/>
                <w:color w:val="FFFFFF"/>
              </w:rPr>
              <w:t>Customer benefit</w:t>
            </w:r>
          </w:p>
        </w:tc>
      </w:tr>
      <w:tr>
        <w:tc>
          <w:tcPr>
            <w:tcW w:type="dxa" w:w="5184"/>
            <w:tcMar>
              <w:top w:w="100" w:type="dxa"/>
              <w:start w:w="100" w:type="dxa"/>
              <w:bottom w:w="100" w:type="dxa"/>
              <w:end w:w="100" w:type="dxa"/>
            </w:tcMar>
          </w:tcPr>
          <w:p>
            <w:r>
              <w:t>Protected Original Master</w:t>
            </w:r>
          </w:p>
        </w:tc>
        <w:tc>
          <w:tcPr>
            <w:tcW w:type="dxa" w:w="5184"/>
            <w:tcMar>
              <w:top w:w="100" w:type="dxa"/>
              <w:start w:w="100" w:type="dxa"/>
              <w:bottom w:w="100" w:type="dxa"/>
              <w:end w:w="100" w:type="dxa"/>
            </w:tcMar>
          </w:tcPr>
          <w:p>
            <w:r>
              <w:t>Keeps the approved source as the trusted reference while variants and colourways are developed.</w:t>
            </w:r>
          </w:p>
        </w:tc>
      </w:tr>
      <w:tr>
        <w:tc>
          <w:tcPr>
            <w:tcW w:type="dxa" w:w="5184"/>
            <w:tcMar>
              <w:top w:w="100" w:type="dxa"/>
              <w:start w:w="100" w:type="dxa"/>
              <w:bottom w:w="100" w:type="dxa"/>
              <w:end w:w="100" w:type="dxa"/>
            </w:tcMar>
          </w:tcPr>
          <w:p>
            <w:r>
              <w:t>Reusable components</w:t>
            </w:r>
          </w:p>
        </w:tc>
        <w:tc>
          <w:tcPr>
            <w:tcW w:type="dxa" w:w="5184"/>
            <w:tcMar>
              <w:top w:w="100" w:type="dxa"/>
              <w:start w:w="100" w:type="dxa"/>
              <w:bottom w:w="100" w:type="dxa"/>
              <w:end w:w="100" w:type="dxa"/>
            </w:tcMar>
          </w:tcPr>
          <w:p>
            <w:r>
              <w:t>Lets the user organise practical parts of a logo system for downstream variation work.</w:t>
            </w:r>
          </w:p>
        </w:tc>
      </w:tr>
      <w:tr>
        <w:tc>
          <w:tcPr>
            <w:tcW w:type="dxa" w:w="5184"/>
            <w:tcMar>
              <w:top w:w="100" w:type="dxa"/>
              <w:start w:w="100" w:type="dxa"/>
              <w:bottom w:w="100" w:type="dxa"/>
              <w:end w:w="100" w:type="dxa"/>
            </w:tcMar>
          </w:tcPr>
          <w:p>
            <w:r>
              <w:t>Variant Matrix</w:t>
            </w:r>
          </w:p>
        </w:tc>
        <w:tc>
          <w:tcPr>
            <w:tcW w:type="dxa" w:w="5184"/>
            <w:tcMar>
              <w:top w:w="100" w:type="dxa"/>
              <w:start w:w="100" w:type="dxa"/>
              <w:bottom w:w="100" w:type="dxa"/>
              <w:end w:w="100" w:type="dxa"/>
            </w:tcMar>
          </w:tcPr>
          <w:p>
            <w:r>
              <w:t>Shows Original, Full Colour, Black, White, Grayscale, Reverse and Custom versions in one production board.</w:t>
            </w:r>
          </w:p>
        </w:tc>
      </w:tr>
      <w:tr>
        <w:tc>
          <w:tcPr>
            <w:tcW w:type="dxa" w:w="5184"/>
            <w:tcMar>
              <w:top w:w="100" w:type="dxa"/>
              <w:start w:w="100" w:type="dxa"/>
              <w:bottom w:w="100" w:type="dxa"/>
              <w:end w:w="100" w:type="dxa"/>
            </w:tcMar>
          </w:tcPr>
          <w:p>
            <w:r>
              <w:t>Raster-to-vector preparation</w:t>
            </w:r>
          </w:p>
        </w:tc>
        <w:tc>
          <w:tcPr>
            <w:tcW w:type="dxa" w:w="5184"/>
            <w:tcMar>
              <w:top w:w="100" w:type="dxa"/>
              <w:start w:w="100" w:type="dxa"/>
              <w:bottom w:w="100" w:type="dxa"/>
              <w:end w:w="100" w:type="dxa"/>
            </w:tcMar>
          </w:tcPr>
          <w:p>
            <w:r>
              <w:t>Lets PNG, JPG and WebP source artwork enter the vector-based workflow.</w:t>
            </w:r>
          </w:p>
        </w:tc>
      </w:tr>
      <w:tr>
        <w:tc>
          <w:tcPr>
            <w:tcW w:type="dxa" w:w="5184"/>
            <w:tcMar>
              <w:top w:w="100" w:type="dxa"/>
              <w:start w:w="100" w:type="dxa"/>
              <w:bottom w:w="100" w:type="dxa"/>
              <w:end w:w="100" w:type="dxa"/>
            </w:tcMar>
          </w:tcPr>
          <w:p>
            <w:r>
              <w:t>Original vs vector comparison</w:t>
            </w:r>
          </w:p>
        </w:tc>
        <w:tc>
          <w:tcPr>
            <w:tcW w:type="dxa" w:w="5184"/>
            <w:tcMar>
              <w:top w:w="100" w:type="dxa"/>
              <w:start w:w="100" w:type="dxa"/>
              <w:bottom w:w="100" w:type="dxa"/>
              <w:end w:w="100" w:type="dxa"/>
            </w:tcMar>
          </w:tcPr>
          <w:p>
            <w:r>
              <w:t>Helps the user review converted artwork before accepting it.</w:t>
            </w:r>
          </w:p>
        </w:tc>
      </w:tr>
      <w:tr>
        <w:tc>
          <w:tcPr>
            <w:tcW w:type="dxa" w:w="5184"/>
            <w:tcMar>
              <w:top w:w="100" w:type="dxa"/>
              <w:start w:w="100" w:type="dxa"/>
              <w:bottom w:w="100" w:type="dxa"/>
              <w:end w:w="100" w:type="dxa"/>
            </w:tcMar>
          </w:tcPr>
          <w:p>
            <w:r>
              <w:t>Colour Concepts</w:t>
            </w:r>
          </w:p>
        </w:tc>
        <w:tc>
          <w:tcPr>
            <w:tcW w:type="dxa" w:w="5184"/>
            <w:tcMar>
              <w:top w:w="100" w:type="dxa"/>
              <w:start w:w="100" w:type="dxa"/>
              <w:bottom w:w="100" w:type="dxa"/>
              <w:end w:w="100" w:type="dxa"/>
            </w:tcMar>
          </w:tcPr>
          <w:p>
            <w:r>
              <w:t>Generates six coordinated whole-logo colour directions for exploration.</w:t>
            </w:r>
          </w:p>
        </w:tc>
      </w:tr>
      <w:tr>
        <w:tc>
          <w:tcPr>
            <w:tcW w:type="dxa" w:w="5184"/>
            <w:tcMar>
              <w:top w:w="100" w:type="dxa"/>
              <w:start w:w="100" w:type="dxa"/>
              <w:bottom w:w="100" w:type="dxa"/>
              <w:end w:w="100" w:type="dxa"/>
            </w:tcMar>
          </w:tcPr>
          <w:p>
            <w:r>
              <w:t>Multiple Colourway Masters</w:t>
            </w:r>
          </w:p>
        </w:tc>
        <w:tc>
          <w:tcPr>
            <w:tcW w:type="dxa" w:w="5184"/>
            <w:tcMar>
              <w:top w:w="100" w:type="dxa"/>
              <w:start w:w="100" w:type="dxa"/>
              <w:bottom w:w="100" w:type="dxa"/>
              <w:end w:w="100" w:type="dxa"/>
            </w:tcMar>
          </w:tcPr>
          <w:p>
            <w:r>
              <w:t>Keeps several saved colour systems inside the same project.</w:t>
            </w:r>
          </w:p>
        </w:tc>
      </w:tr>
      <w:tr>
        <w:tc>
          <w:tcPr>
            <w:tcW w:type="dxa" w:w="5184"/>
            <w:tcMar>
              <w:top w:w="100" w:type="dxa"/>
              <w:start w:w="100" w:type="dxa"/>
              <w:bottom w:w="100" w:type="dxa"/>
              <w:end w:w="100" w:type="dxa"/>
            </w:tcMar>
          </w:tcPr>
          <w:p>
            <w:r>
              <w:t>Colour Refinement</w:t>
            </w:r>
          </w:p>
        </w:tc>
        <w:tc>
          <w:tcPr>
            <w:tcW w:type="dxa" w:w="5184"/>
            <w:tcMar>
              <w:top w:w="100" w:type="dxa"/>
              <w:start w:w="100" w:type="dxa"/>
              <w:bottom w:w="100" w:type="dxa"/>
              <w:end w:w="100" w:type="dxa"/>
            </w:tcMar>
          </w:tcPr>
          <w:p>
            <w:r>
              <w:t>Allows individual component/variant colour changes without altering the imported master.</w:t>
            </w:r>
          </w:p>
        </w:tc>
      </w:tr>
      <w:tr>
        <w:tc>
          <w:tcPr>
            <w:tcW w:type="dxa" w:w="5184"/>
            <w:tcMar>
              <w:top w:w="100" w:type="dxa"/>
              <w:start w:w="100" w:type="dxa"/>
              <w:bottom w:w="100" w:type="dxa"/>
              <w:end w:w="100" w:type="dxa"/>
            </w:tcMar>
          </w:tcPr>
          <w:p>
            <w:r>
              <w:t>RGB workflow</w:t>
            </w:r>
          </w:p>
        </w:tc>
        <w:tc>
          <w:tcPr>
            <w:tcW w:type="dxa" w:w="5184"/>
            <w:tcMar>
              <w:top w:w="100" w:type="dxa"/>
              <w:start w:w="100" w:type="dxa"/>
              <w:bottom w:w="100" w:type="dxa"/>
              <w:end w:w="100" w:type="dxa"/>
            </w:tcMar>
          </w:tcPr>
          <w:p>
            <w:r>
              <w:t>Supports digital colour preparation.</w:t>
            </w:r>
          </w:p>
        </w:tc>
      </w:tr>
      <w:tr>
        <w:tc>
          <w:tcPr>
            <w:tcW w:type="dxa" w:w="5184"/>
            <w:tcMar>
              <w:top w:w="100" w:type="dxa"/>
              <w:start w:w="100" w:type="dxa"/>
              <w:bottom w:w="100" w:type="dxa"/>
              <w:end w:w="100" w:type="dxa"/>
            </w:tcMar>
          </w:tcPr>
          <w:p>
            <w:r>
              <w:t>CMYK workflow</w:t>
            </w:r>
          </w:p>
        </w:tc>
        <w:tc>
          <w:tcPr>
            <w:tcW w:type="dxa" w:w="5184"/>
            <w:tcMar>
              <w:top w:w="100" w:type="dxa"/>
              <w:start w:w="100" w:type="dxa"/>
              <w:bottom w:w="100" w:type="dxa"/>
              <w:end w:w="100" w:type="dxa"/>
            </w:tcMar>
          </w:tcPr>
          <w:p>
            <w:r>
              <w:t>Supports print-oriented colour preparation where applicable.</w:t>
            </w:r>
          </w:p>
        </w:tc>
      </w:tr>
      <w:tr>
        <w:tc>
          <w:tcPr>
            <w:tcW w:type="dxa" w:w="5184"/>
            <w:tcMar>
              <w:top w:w="100" w:type="dxa"/>
              <w:start w:w="100" w:type="dxa"/>
              <w:bottom w:w="100" w:type="dxa"/>
              <w:end w:w="100" w:type="dxa"/>
            </w:tcMar>
          </w:tcPr>
          <w:p>
            <w:r>
              <w:t>Spot colour workflow</w:t>
            </w:r>
          </w:p>
        </w:tc>
        <w:tc>
          <w:tcPr>
            <w:tcW w:type="dxa" w:w="5184"/>
            <w:tcMar>
              <w:top w:w="100" w:type="dxa"/>
              <w:start w:w="100" w:type="dxa"/>
              <w:bottom w:w="100" w:type="dxa"/>
              <w:end w:w="100" w:type="dxa"/>
            </w:tcMar>
          </w:tcPr>
          <w:p>
            <w:r>
              <w:t>Supports professional spot-colour preparation where the necessary colour information is available.</w:t>
            </w:r>
          </w:p>
        </w:tc>
      </w:tr>
      <w:tr>
        <w:tc>
          <w:tcPr>
            <w:tcW w:type="dxa" w:w="5184"/>
            <w:tcMar>
              <w:top w:w="100" w:type="dxa"/>
              <w:start w:w="100" w:type="dxa"/>
              <w:bottom w:w="100" w:type="dxa"/>
              <w:end w:w="100" w:type="dxa"/>
            </w:tcMar>
          </w:tcPr>
          <w:p>
            <w:r>
              <w:t>Save/Open projects</w:t>
            </w:r>
          </w:p>
        </w:tc>
        <w:tc>
          <w:tcPr>
            <w:tcW w:type="dxa" w:w="5184"/>
            <w:tcMar>
              <w:top w:w="100" w:type="dxa"/>
              <w:start w:w="100" w:type="dxa"/>
              <w:bottom w:w="100" w:type="dxa"/>
              <w:end w:w="100" w:type="dxa"/>
            </w:tcMar>
          </w:tcPr>
          <w:p>
            <w:r>
              <w:t>Allows production work to be saved and reopened.</w:t>
            </w:r>
          </w:p>
        </w:tc>
      </w:tr>
      <w:tr>
        <w:tc>
          <w:tcPr>
            <w:tcW w:type="dxa" w:w="5184"/>
            <w:tcMar>
              <w:top w:w="100" w:type="dxa"/>
              <w:start w:w="100" w:type="dxa"/>
              <w:bottom w:w="100" w:type="dxa"/>
              <w:end w:w="100" w:type="dxa"/>
            </w:tcMar>
          </w:tcPr>
          <w:p>
            <w:r>
              <w:t>Multilingual interface</w:t>
            </w:r>
          </w:p>
        </w:tc>
        <w:tc>
          <w:tcPr>
            <w:tcW w:type="dxa" w:w="5184"/>
            <w:tcMar>
              <w:top w:w="100" w:type="dxa"/>
              <w:start w:w="100" w:type="dxa"/>
              <w:bottom w:w="100" w:type="dxa"/>
              <w:end w:w="100" w:type="dxa"/>
            </w:tcMar>
          </w:tcPr>
          <w:p>
            <w:r>
              <w:t>Makes the application interface usable in supported languages without changing project artwork.</w:t>
            </w:r>
          </w:p>
        </w:tc>
      </w:tr>
      <w:tr>
        <w:tc>
          <w:tcPr>
            <w:tcW w:type="dxa" w:w="5184"/>
            <w:tcMar>
              <w:top w:w="100" w:type="dxa"/>
              <w:start w:w="100" w:type="dxa"/>
              <w:bottom w:w="100" w:type="dxa"/>
              <w:end w:w="100" w:type="dxa"/>
            </w:tcMar>
          </w:tcPr>
          <w:p>
            <w:r>
              <w:t>Light/Dark/System appearance</w:t>
            </w:r>
          </w:p>
        </w:tc>
        <w:tc>
          <w:tcPr>
            <w:tcW w:type="dxa" w:w="5184"/>
            <w:tcMar>
              <w:top w:w="100" w:type="dxa"/>
              <w:start w:w="100" w:type="dxa"/>
              <w:bottom w:w="100" w:type="dxa"/>
              <w:end w:w="100" w:type="dxa"/>
            </w:tcMar>
          </w:tcPr>
          <w:p>
            <w:r>
              <w:t>Lets the user choose a preferred desktop appearance.</w:t>
            </w:r>
          </w:p>
        </w:tc>
      </w:tr>
      <w:tr>
        <w:tc>
          <w:tcPr>
            <w:tcW w:type="dxa" w:w="5184"/>
            <w:tcMar>
              <w:top w:w="100" w:type="dxa"/>
              <w:start w:w="100" w:type="dxa"/>
              <w:bottom w:w="100" w:type="dxa"/>
              <w:end w:w="100" w:type="dxa"/>
            </w:tcMar>
          </w:tcPr>
          <w:p>
            <w:r>
              <w:t>Built-in Help</w:t>
            </w:r>
          </w:p>
        </w:tc>
        <w:tc>
          <w:tcPr>
            <w:tcW w:type="dxa" w:w="5184"/>
            <w:tcMar>
              <w:top w:w="100" w:type="dxa"/>
              <w:start w:w="100" w:type="dxa"/>
              <w:bottom w:w="100" w:type="dxa"/>
              <w:end w:w="100" w:type="dxa"/>
            </w:tcMar>
          </w:tcPr>
          <w:p>
            <w:r>
              <w:t>Provides application guidance directly inside LogoVary.</w:t>
            </w:r>
          </w:p>
        </w:tc>
      </w:tr>
      <w:tr>
        <w:tc>
          <w:tcPr>
            <w:tcW w:type="dxa" w:w="5184"/>
            <w:tcMar>
              <w:top w:w="100" w:type="dxa"/>
              <w:start w:w="100" w:type="dxa"/>
              <w:bottom w:w="100" w:type="dxa"/>
              <w:end w:w="100" w:type="dxa"/>
            </w:tcMar>
          </w:tcPr>
          <w:p>
            <w:r>
              <w:t>SVG export</w:t>
            </w:r>
          </w:p>
        </w:tc>
        <w:tc>
          <w:tcPr>
            <w:tcW w:type="dxa" w:w="5184"/>
            <w:tcMar>
              <w:top w:w="100" w:type="dxa"/>
              <w:start w:w="100" w:type="dxa"/>
              <w:bottom w:w="100" w:type="dxa"/>
              <w:end w:w="100" w:type="dxa"/>
            </w:tcMar>
          </w:tcPr>
          <w:p>
            <w:r>
              <w:t>Provides scalable vector output for professional reuse.</w:t>
            </w:r>
          </w:p>
        </w:tc>
      </w:tr>
      <w:tr>
        <w:tc>
          <w:tcPr>
            <w:tcW w:type="dxa" w:w="5184"/>
            <w:tcMar>
              <w:top w:w="100" w:type="dxa"/>
              <w:start w:w="100" w:type="dxa"/>
              <w:bottom w:w="100" w:type="dxa"/>
              <w:end w:w="100" w:type="dxa"/>
            </w:tcMar>
          </w:tcPr>
          <w:p>
            <w:r>
              <w:t>PNG/JPG/WebP exports</w:t>
            </w:r>
          </w:p>
        </w:tc>
        <w:tc>
          <w:tcPr>
            <w:tcW w:type="dxa" w:w="5184"/>
            <w:tcMar>
              <w:top w:w="100" w:type="dxa"/>
              <w:start w:w="100" w:type="dxa"/>
              <w:bottom w:w="100" w:type="dxa"/>
              <w:end w:w="100" w:type="dxa"/>
            </w:tcMar>
          </w:tcPr>
          <w:p>
            <w:r>
              <w:t>Provides common raster delivery formats and practical image sizes.</w:t>
            </w:r>
          </w:p>
        </w:tc>
      </w:tr>
      <w:tr>
        <w:tc>
          <w:tcPr>
            <w:tcW w:type="dxa" w:w="5184"/>
            <w:tcMar>
              <w:top w:w="100" w:type="dxa"/>
              <w:start w:w="100" w:type="dxa"/>
              <w:bottom w:w="100" w:type="dxa"/>
              <w:end w:w="100" w:type="dxa"/>
            </w:tcMar>
          </w:tcPr>
          <w:p>
            <w:r>
              <w:t>PDF/EPS exports</w:t>
            </w:r>
          </w:p>
        </w:tc>
        <w:tc>
          <w:tcPr>
            <w:tcW w:type="dxa" w:w="5184"/>
            <w:tcMar>
              <w:top w:w="100" w:type="dxa"/>
              <w:start w:w="100" w:type="dxa"/>
              <w:bottom w:w="100" w:type="dxa"/>
              <w:end w:w="100" w:type="dxa"/>
            </w:tcMar>
          </w:tcPr>
          <w:p>
            <w:r>
              <w:t>Supports additional professional vector/print delivery where applicable.</w:t>
            </w:r>
          </w:p>
        </w:tc>
      </w:tr>
      <w:tr>
        <w:tc>
          <w:tcPr>
            <w:tcW w:type="dxa" w:w="5184"/>
            <w:tcMar>
              <w:top w:w="100" w:type="dxa"/>
              <w:start w:w="100" w:type="dxa"/>
              <w:bottom w:w="100" w:type="dxa"/>
              <w:end w:w="100" w:type="dxa"/>
            </w:tcMar>
          </w:tcPr>
          <w:p>
            <w:r>
              <w:t>Structured package folders</w:t>
            </w:r>
          </w:p>
        </w:tc>
        <w:tc>
          <w:tcPr>
            <w:tcW w:type="dxa" w:w="5184"/>
            <w:tcMar>
              <w:top w:w="100" w:type="dxa"/>
              <w:start w:w="100" w:type="dxa"/>
              <w:bottom w:w="100" w:type="dxa"/>
              <w:end w:w="100" w:type="dxa"/>
            </w:tcMar>
          </w:tcPr>
          <w:p>
            <w:r>
              <w:t>Organises client deliverables instead of leaving a flat pile of exports.</w:t>
            </w:r>
          </w:p>
        </w:tc>
      </w:tr>
      <w:tr>
        <w:tc>
          <w:tcPr>
            <w:tcW w:type="dxa" w:w="5184"/>
            <w:tcMar>
              <w:top w:w="100" w:type="dxa"/>
              <w:start w:w="100" w:type="dxa"/>
              <w:bottom w:w="100" w:type="dxa"/>
              <w:end w:w="100" w:type="dxa"/>
            </w:tcMar>
          </w:tcPr>
          <w:p>
            <w:r>
              <w:t>Package validation and SHA-256 checksums</w:t>
            </w:r>
          </w:p>
        </w:tc>
        <w:tc>
          <w:tcPr>
            <w:tcW w:type="dxa" w:w="5184"/>
            <w:tcMar>
              <w:top w:w="100" w:type="dxa"/>
              <w:start w:w="100" w:type="dxa"/>
              <w:bottom w:w="100" w:type="dxa"/>
              <w:end w:w="100" w:type="dxa"/>
            </w:tcMar>
          </w:tcPr>
          <w:p>
            <w:r>
              <w:t>Adds integrity and quality-control information to professional delivery.</w:t>
            </w:r>
          </w:p>
        </w:tc>
      </w:tr>
      <w:tr>
        <w:tc>
          <w:tcPr>
            <w:tcW w:type="dxa" w:w="5184"/>
            <w:tcMar>
              <w:top w:w="100" w:type="dxa"/>
              <w:start w:w="100" w:type="dxa"/>
              <w:bottom w:w="100" w:type="dxa"/>
              <w:end w:w="100" w:type="dxa"/>
            </w:tcMar>
          </w:tcPr>
          <w:p>
            <w:r>
              <w:t>Offline START-HERE reference</w:t>
            </w:r>
          </w:p>
        </w:tc>
        <w:tc>
          <w:tcPr>
            <w:tcW w:type="dxa" w:w="5184"/>
            <w:tcMar>
              <w:top w:w="100" w:type="dxa"/>
              <w:start w:w="100" w:type="dxa"/>
              <w:bottom w:w="100" w:type="dxa"/>
              <w:end w:w="100" w:type="dxa"/>
            </w:tcMar>
          </w:tcPr>
          <w:p>
            <w:r>
              <w:t>Gives recipients a convenient local HTML overview of the delivered logo package.</w:t>
            </w:r>
          </w:p>
        </w:tc>
      </w:tr>
    </w:tbl>
    <w:sectPr w:rsidR="00FC693F" w:rsidRPr="0006063C" w:rsidSect="00034616">
      <w:footerReference w:type="default" r:id="rId10"/>
      <w:pgSz w:w="12240" w:h="15840"/>
      <w:pgMar w:top="792" w:right="936" w:bottom="792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60758A"/>
        <w:sz w:val="16"/>
      </w:rPr>
      <w:t>LogoVary Affiliate Promo Kit · HelpfulByte · Affiliate use only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color w:val="132B46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082B58"/>
      <w:sz w:val="3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0873EF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082B58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/>
      <w:b/>
      <w:color w:val="082B58"/>
      <w:spacing w:val="5"/>
      <w:kern w:val="28"/>
      <w:sz w:val="5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