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440"/>
        <w:gridCol w:w="9216"/>
      </w:tblGrid>
      <w:tr>
        <w:tc>
          <w:tcPr>
            <w:tcW w:type="dxa" w:w="5184"/>
            <w:tcMar>
              <w:top w:w="50" w:type="dxa"/>
              <w:start w:w="20" w:type="dxa"/>
              <w:bottom w:w="60" w:type="dxa"/>
              <w:end w:w="20" w:type="dxa"/>
            </w:tcMar>
          </w:tcPr>
          <w:p>
            <w:r>
              <w:drawing>
                <wp:inline xmlns:a="http://schemas.openxmlformats.org/drawingml/2006/main" xmlns:pic="http://schemas.openxmlformats.org/drawingml/2006/picture">
                  <wp:extent cx="438912" cy="438912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Vary_icon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" cy="43891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184"/>
            <w:tcMar>
              <w:top w:w="50" w:type="dxa"/>
              <w:start w:w="20" w:type="dxa"/>
              <w:bottom w:w="60" w:type="dxa"/>
              <w:end w:w="20" w:type="dxa"/>
            </w:tcMar>
          </w:tcPr>
          <w:p>
            <w:pPr>
              <w:jc w:val="left"/>
            </w:pPr>
            <w:r>
              <w:rPr>
                <w:b/>
                <w:color w:val="082B58"/>
                <w:sz w:val="34"/>
              </w:rPr>
              <w:t>LogoVary</w:t>
            </w:r>
            <w:r>
              <w:rPr>
                <w:color w:val="60758A"/>
                <w:sz w:val="17"/>
              </w:rPr>
              <w:br/>
              <w:t>Affiliate Promo Kit · HelpfulByte</w:t>
            </w:r>
          </w:p>
        </w:tc>
      </w:tr>
    </w:tbl>
    <w:p/>
    <w:p>
      <w:pPr>
        <w:pStyle w:val="Title"/>
        <w:jc w:val="left"/>
      </w:pPr>
      <w:r>
        <w:t>Selling Angles</w:t>
      </w:r>
    </w:p>
    <w:p>
      <w:pPr>
        <w:spacing w:after="240"/>
      </w:pPr>
      <w:r>
        <w:rPr>
          <w:i/>
          <w:color w:val="60758A"/>
          <w:sz w:val="22"/>
        </w:rPr>
        <w:t>Expanded positioning ideas affiliates can adapt to different audiences.</w:t>
      </w:r>
    </w:p>
    <w:p>
      <w:pPr>
        <w:pStyle w:val="Heading1"/>
      </w:pPr>
      <w:r>
        <w:t>1. The work starts after approval</w:t>
      </w:r>
    </w:p>
    <w:p>
      <w:r>
        <w:t>Lead with the overlooked production stage after creative approval.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AF6FF"/>
            <w:tcMar>
              <w:top w:w="170" w:type="dxa"/>
              <w:start w:w="190" w:type="dxa"/>
              <w:bottom w:w="170" w:type="dxa"/>
              <w:end w:w="190" w:type="dxa"/>
            </w:tcMar>
          </w:tcPr>
          <w:p>
            <w:r>
              <w:rPr>
                <w:b/>
                <w:color w:val="082B58"/>
                <w:sz w:val="22"/>
              </w:rPr>
              <w:t>Talking point</w:t>
            </w:r>
          </w:p>
          <w:p>
            <w:pPr>
              <w:spacing w:after="0"/>
            </w:pPr>
            <w:r>
              <w:rPr>
                <w:color w:val="132B46"/>
                <w:sz w:val="20"/>
              </w:rPr>
              <w:t>The logo may be approved, but the designer still needs practical variants, alternate colourways, production formats and a clean handoff.</w:t>
            </w:r>
          </w:p>
        </w:tc>
      </w:tr>
    </w:tbl>
    <w:p>
      <w:pPr>
        <w:spacing w:after="40"/>
      </w:pPr>
    </w:p>
    <w:p>
      <w:r>
        <w:rPr>
          <w:b/>
        </w:rPr>
        <w:t xml:space="preserve">Best fit: </w:t>
      </w:r>
      <w:r>
        <w:t>Best for audiences of freelancers and client-service designers.</w:t>
      </w:r>
    </w:p>
    <w:p>
      <w:pPr>
        <w:pStyle w:val="Heading1"/>
      </w:pPr>
      <w:r>
        <w:t>2. Stop rebuilding the same variants manually</w:t>
      </w:r>
    </w:p>
    <w:p>
      <w:r>
        <w:t>Emphasise repetitive version creation.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AF6FF"/>
            <w:tcMar>
              <w:top w:w="170" w:type="dxa"/>
              <w:start w:w="190" w:type="dxa"/>
              <w:bottom w:w="170" w:type="dxa"/>
              <w:end w:w="190" w:type="dxa"/>
            </w:tcMar>
          </w:tcPr>
          <w:p>
            <w:r>
              <w:rPr>
                <w:b/>
                <w:color w:val="082B58"/>
                <w:sz w:val="22"/>
              </w:rPr>
              <w:t>Talking point</w:t>
            </w:r>
          </w:p>
          <w:p>
            <w:pPr>
              <w:spacing w:after="0"/>
            </w:pPr>
            <w:r>
              <w:rPr>
                <w:color w:val="132B46"/>
                <w:sz w:val="20"/>
              </w:rPr>
              <w:t>Black, white, reverse, grayscale, custom and full-colour versions are common delivery requirements. LogoVary keeps them organised in a dedicated Variant Matrix.</w:t>
            </w:r>
          </w:p>
        </w:tc>
      </w:tr>
    </w:tbl>
    <w:p>
      <w:pPr>
        <w:spacing w:after="40"/>
      </w:pPr>
    </w:p>
    <w:p>
      <w:r>
        <w:rPr>
          <w:b/>
        </w:rPr>
        <w:t xml:space="preserve">Best fit: </w:t>
      </w:r>
      <w:r>
        <w:t>Best for productivity and workflow-focused promotions.</w:t>
      </w:r>
    </w:p>
    <w:p>
      <w:pPr>
        <w:pStyle w:val="Heading1"/>
      </w:pPr>
      <w:r>
        <w:t>3. One organised logo system</w:t>
      </w:r>
    </w:p>
    <w:p>
      <w:r>
        <w:t>Position LogoVary as an alternative to scattered exports and duplicate files.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AF6FF"/>
            <w:tcMar>
              <w:top w:w="170" w:type="dxa"/>
              <w:start w:w="190" w:type="dxa"/>
              <w:bottom w:w="170" w:type="dxa"/>
              <w:end w:w="190" w:type="dxa"/>
            </w:tcMar>
          </w:tcPr>
          <w:p>
            <w:r>
              <w:rPr>
                <w:b/>
                <w:color w:val="082B58"/>
                <w:sz w:val="22"/>
              </w:rPr>
              <w:t>Talking point</w:t>
            </w:r>
          </w:p>
          <w:p>
            <w:pPr>
              <w:spacing w:after="0"/>
            </w:pPr>
            <w:r>
              <w:rPr>
                <w:color w:val="132B46"/>
                <w:sz w:val="20"/>
              </w:rPr>
              <w:t>The Original Master, components, variants, colourways and delivery structure stay connected inside one project.</w:t>
            </w:r>
          </w:p>
        </w:tc>
      </w:tr>
    </w:tbl>
    <w:p>
      <w:pPr>
        <w:spacing w:after="40"/>
      </w:pPr>
    </w:p>
    <w:p>
      <w:r>
        <w:rPr>
          <w:b/>
        </w:rPr>
        <w:t xml:space="preserve">Best fit: </w:t>
      </w:r>
      <w:r>
        <w:t>Best for designers who struggle with file organisation.</w:t>
      </w:r>
    </w:p>
    <w:p>
      <w:pPr>
        <w:pStyle w:val="Heading1"/>
      </w:pPr>
      <w:r>
        <w:t>4. Professional delivery as a selling point</w:t>
      </w:r>
    </w:p>
    <w:p>
      <w:r>
        <w:t>Focus on the client-facing end result.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AF6FF"/>
            <w:tcMar>
              <w:top w:w="170" w:type="dxa"/>
              <w:start w:w="190" w:type="dxa"/>
              <w:bottom w:w="170" w:type="dxa"/>
              <w:end w:w="190" w:type="dxa"/>
            </w:tcMar>
          </w:tcPr>
          <w:p>
            <w:r>
              <w:rPr>
                <w:b/>
                <w:color w:val="082B58"/>
                <w:sz w:val="22"/>
              </w:rPr>
              <w:t>Talking point</w:t>
            </w:r>
          </w:p>
          <w:p>
            <w:pPr>
              <w:spacing w:after="0"/>
            </w:pPr>
            <w:r>
              <w:rPr>
                <w:color w:val="132B46"/>
                <w:sz w:val="20"/>
              </w:rPr>
              <w:t>Structured output, manifest information, validation, SHA-256 checksums and an offline START-HERE reference make the final handoff more professional.</w:t>
            </w:r>
          </w:p>
        </w:tc>
      </w:tr>
    </w:tbl>
    <w:p>
      <w:pPr>
        <w:spacing w:after="40"/>
      </w:pPr>
    </w:p>
    <w:p>
      <w:r>
        <w:rPr>
          <w:b/>
        </w:rPr>
        <w:t xml:space="preserve">Best fit: </w:t>
      </w:r>
      <w:r>
        <w:t>Best for agencies, studios and premium-service designers.</w:t>
      </w:r>
    </w:p>
    <w:p>
      <w:pPr>
        <w:pStyle w:val="Heading1"/>
      </w:pPr>
      <w:r>
        <w:t>5. Companion to existing design software</w:t>
      </w:r>
    </w:p>
    <w:p>
      <w:r>
        <w:t>Remove the objection that the buyer already owns Illustrator, Affinity, Figma or Canva.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AF6FF"/>
            <w:tcMar>
              <w:top w:w="170" w:type="dxa"/>
              <w:start w:w="190" w:type="dxa"/>
              <w:bottom w:w="170" w:type="dxa"/>
              <w:end w:w="190" w:type="dxa"/>
            </w:tcMar>
          </w:tcPr>
          <w:p>
            <w:r>
              <w:rPr>
                <w:b/>
                <w:color w:val="082B58"/>
                <w:sz w:val="22"/>
              </w:rPr>
              <w:t>Talking point</w:t>
            </w:r>
          </w:p>
          <w:p>
            <w:pPr>
              <w:spacing w:after="0"/>
            </w:pPr>
            <w:r>
              <w:rPr>
                <w:color w:val="132B46"/>
                <w:sz w:val="20"/>
              </w:rPr>
              <w:t>LogoVary is not the creative design tool; it is the post-approval production and delivery tool.</w:t>
            </w:r>
          </w:p>
        </w:tc>
      </w:tr>
    </w:tbl>
    <w:p>
      <w:pPr>
        <w:spacing w:after="40"/>
      </w:pPr>
    </w:p>
    <w:p>
      <w:r>
        <w:rPr>
          <w:b/>
        </w:rPr>
        <w:t xml:space="preserve">Best fit: </w:t>
      </w:r>
      <w:r>
        <w:t>Best for experienced designers with established software stacks.</w:t>
      </w:r>
    </w:p>
    <w:p>
      <w:pPr>
        <w:pStyle w:val="Heading1"/>
      </w:pPr>
      <w:r>
        <w:t>6. One-time multilingual desktop software</w:t>
      </w:r>
    </w:p>
    <w:p>
      <w:r>
        <w:t>Lead with product model and desktop ownership.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AF6FF"/>
            <w:tcMar>
              <w:top w:w="170" w:type="dxa"/>
              <w:start w:w="190" w:type="dxa"/>
              <w:bottom w:w="170" w:type="dxa"/>
              <w:end w:w="190" w:type="dxa"/>
            </w:tcMar>
          </w:tcPr>
          <w:p>
            <w:r>
              <w:rPr>
                <w:b/>
                <w:color w:val="082B58"/>
                <w:sz w:val="22"/>
              </w:rPr>
              <w:t>Talking point</w:t>
            </w:r>
          </w:p>
          <w:p>
            <w:pPr>
              <w:spacing w:after="0"/>
            </w:pPr>
            <w:r>
              <w:rPr>
                <w:color w:val="132B46"/>
                <w:sz w:val="20"/>
              </w:rPr>
              <w:t>LogoVary is an installed Windows application with multilingual interface support and Light/Dark/System appearance, sold as a one-time purchase.</w:t>
            </w:r>
          </w:p>
        </w:tc>
      </w:tr>
    </w:tbl>
    <w:p>
      <w:pPr>
        <w:spacing w:after="40"/>
      </w:pPr>
    </w:p>
    <w:p>
      <w:r>
        <w:rPr>
          <w:b/>
        </w:rPr>
        <w:t xml:space="preserve">Best fit: </w:t>
      </w:r>
      <w:r>
        <w:t>Best for buyers tired of recurring SaaS subscriptions.</w:t>
      </w:r>
    </w:p>
    <w:p>
      <w:pPr>
        <w:pStyle w:val="Heading1"/>
      </w:pPr>
      <w:r>
        <w:t>7. From raster source to organised vector workflow</w:t>
      </w:r>
    </w:p>
    <w:p>
      <w:r>
        <w:t>Highlight the ability to start from PNG, JPG or WebP when clean SVG source is unavailable.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AF6FF"/>
            <w:tcMar>
              <w:top w:w="170" w:type="dxa"/>
              <w:start w:w="190" w:type="dxa"/>
              <w:bottom w:w="170" w:type="dxa"/>
              <w:end w:w="190" w:type="dxa"/>
            </w:tcMar>
          </w:tcPr>
          <w:p>
            <w:r>
              <w:rPr>
                <w:b/>
                <w:color w:val="082B58"/>
                <w:sz w:val="22"/>
              </w:rPr>
              <w:t>Talking point</w:t>
            </w:r>
          </w:p>
          <w:p>
            <w:pPr>
              <w:spacing w:after="0"/>
            </w:pPr>
            <w:r>
              <w:rPr>
                <w:color w:val="132B46"/>
                <w:sz w:val="20"/>
              </w:rPr>
              <w:t>The local raster-to-vector step lets the user compare source and vector preview before moving forward.</w:t>
            </w:r>
          </w:p>
        </w:tc>
      </w:tr>
    </w:tbl>
    <w:p>
      <w:pPr>
        <w:spacing w:after="40"/>
      </w:pPr>
    </w:p>
    <w:p>
      <w:r>
        <w:rPr>
          <w:b/>
        </w:rPr>
        <w:t xml:space="preserve">Best fit: </w:t>
      </w:r>
      <w:r>
        <w:t>Best for freelancers receiving imperfect client files.</w:t>
      </w:r>
    </w:p>
    <w:p>
      <w:pPr>
        <w:pStyle w:val="Heading1"/>
      </w:pPr>
      <w:r>
        <w:t>8. Colourway exploration without sacrificing the master</w:t>
      </w:r>
    </w:p>
    <w:p>
      <w:r>
        <w:t>Lead with safe exploration.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AF6FF"/>
            <w:tcMar>
              <w:top w:w="170" w:type="dxa"/>
              <w:start w:w="190" w:type="dxa"/>
              <w:bottom w:w="170" w:type="dxa"/>
              <w:end w:w="190" w:type="dxa"/>
            </w:tcMar>
          </w:tcPr>
          <w:p>
            <w:r>
              <w:rPr>
                <w:b/>
                <w:color w:val="082B58"/>
                <w:sz w:val="22"/>
              </w:rPr>
              <w:t>Talking point</w:t>
            </w:r>
          </w:p>
          <w:p>
            <w:pPr>
              <w:spacing w:after="0"/>
            </w:pPr>
            <w:r>
              <w:rPr>
                <w:color w:val="132B46"/>
                <w:sz w:val="20"/>
              </w:rPr>
              <w:t>Colour Concepts can generate coordinated directions and selected concepts can become new Colourway Masters while the imported Original Master remains protected.</w:t>
            </w:r>
          </w:p>
        </w:tc>
      </w:tr>
    </w:tbl>
    <w:p>
      <w:pPr>
        <w:spacing w:after="40"/>
      </w:pPr>
    </w:p>
    <w:p>
      <w:r>
        <w:rPr>
          <w:b/>
        </w:rPr>
        <w:t xml:space="preserve">Best fit: </w:t>
      </w:r>
      <w:r>
        <w:t>Best for branding and identity audiences.</w:t>
      </w:r>
    </w:p>
    <w:sectPr w:rsidR="00FC693F" w:rsidRPr="0006063C" w:rsidSect="00034616">
      <w:footerReference w:type="default" r:id="rId10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0758A"/>
        <w:sz w:val="16"/>
      </w:rPr>
      <w:t>LogoVary Affiliate Promo Kit · HelpfulByte · Affiliate use only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color w:val="132B4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82B58"/>
      <w:sz w:val="3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0873EF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082B5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82B58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