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Pr>
      <w:tblGrid>
        <w:gridCol w:w="1440"/>
        <w:gridCol w:w="9216"/>
      </w:tblGrid>
      <w:tr>
        <w:tc>
          <w:tcPr>
            <w:tcW w:type="dxa" w:w="5184"/>
            <w:tcMar>
              <w:top w:w="50" w:type="dxa"/>
              <w:start w:w="20" w:type="dxa"/>
              <w:bottom w:w="60" w:type="dxa"/>
              <w:end w:w="20" w:type="dxa"/>
            </w:tcMar>
          </w:tcPr>
          <w:p>
            <w:r>
              <w:drawing>
                <wp:inline xmlns:a="http://schemas.openxmlformats.org/drawingml/2006/main" xmlns:pic="http://schemas.openxmlformats.org/drawingml/2006/picture">
                  <wp:extent cx="438912" cy="438912"/>
                  <wp:docPr id="1" name="Picture 1"/>
                  <wp:cNvGraphicFramePr>
                    <a:graphicFrameLocks noChangeAspect="1"/>
                  </wp:cNvGraphicFramePr>
                  <a:graphic>
                    <a:graphicData uri="http://schemas.openxmlformats.org/drawingml/2006/picture">
                      <pic:pic>
                        <pic:nvPicPr>
                          <pic:cNvPr id="0" name="LogoVary_icon.png"/>
                          <pic:cNvPicPr/>
                        </pic:nvPicPr>
                        <pic:blipFill>
                          <a:blip r:embed="rId9"/>
                          <a:stretch>
                            <a:fillRect/>
                          </a:stretch>
                        </pic:blipFill>
                        <pic:spPr>
                          <a:xfrm>
                            <a:off x="0" y="0"/>
                            <a:ext cx="438912" cy="438912"/>
                          </a:xfrm>
                          <a:prstGeom prst="rect"/>
                        </pic:spPr>
                      </pic:pic>
                    </a:graphicData>
                  </a:graphic>
                </wp:inline>
              </w:drawing>
            </w:r>
          </w:p>
        </w:tc>
        <w:tc>
          <w:tcPr>
            <w:tcW w:type="dxa" w:w="5184"/>
            <w:tcMar>
              <w:top w:w="50" w:type="dxa"/>
              <w:start w:w="20" w:type="dxa"/>
              <w:bottom w:w="60" w:type="dxa"/>
              <w:end w:w="20" w:type="dxa"/>
            </w:tcMar>
          </w:tcPr>
          <w:p>
            <w:pPr>
              <w:jc w:val="left"/>
            </w:pPr>
            <w:r>
              <w:rPr>
                <w:b/>
                <w:color w:val="082B58"/>
                <w:sz w:val="34"/>
              </w:rPr>
              <w:t>LogoVary</w:t>
            </w:r>
            <w:r>
              <w:rPr>
                <w:color w:val="60758A"/>
                <w:sz w:val="17"/>
              </w:rPr>
              <w:br/>
              <w:t>Affiliate Promo Kit · HelpfulByte</w:t>
            </w:r>
          </w:p>
        </w:tc>
      </w:tr>
    </w:tbl>
    <w:p/>
    <w:p>
      <w:pPr>
        <w:pStyle w:val="Title"/>
        <w:jc w:val="left"/>
      </w:pPr>
      <w:r>
        <w:t>Product Descriptions</w:t>
      </w:r>
    </w:p>
    <w:p>
      <w:pPr>
        <w:spacing w:after="240"/>
      </w:pPr>
      <w:r>
        <w:rPr>
          <w:i/>
          <w:color w:val="60758A"/>
          <w:sz w:val="22"/>
        </w:rPr>
        <w:t>Approved short, medium and long descriptions for affiliate use.</w:t>
      </w:r>
    </w:p>
    <w:p>
      <w:pPr>
        <w:pStyle w:val="Heading1"/>
      </w:pPr>
      <w:r>
        <w:t>Short description</w:t>
      </w:r>
    </w:p>
    <w:p>
      <w:r>
        <w:t>LogoVary is a multilingual Windows desktop application that helps logo designers turn approved artwork into organised variants, colourways and professional client-ready delivery packages. Create practical logo versions, refine colours, prepare digital and print formats, and export a structured brand package from one focused workflow.</w:t>
      </w:r>
    </w:p>
    <w:p>
      <w:pPr>
        <w:pStyle w:val="Heading1"/>
      </w:pPr>
      <w:r>
        <w:t>Medium description</w:t>
      </w:r>
    </w:p>
    <w:p>
      <w:r>
        <w:t>LogoVary is a standalone Windows desktop application built for the production work that begins after a logo has been approved. Instead of repeatedly rebuilding black, white, reverse, grayscale, alternate-colour and delivery versions by hand, designers can keep the Original Master protected, work through a visual Variant Matrix, explore coordinated Colour Concepts, refine colours in RGB, CMYK or Spot workflows, maintain multiple Colourway Masters, and export organised professional packages. LogoVary supports SVG, PNG, JPG and WebP imports and can produce SVG, PNG, JPG, WebP, PDF and EPS outputs where applicable. The interface is multilingual and includes Light, Dark and System appearance options.</w:t>
      </w:r>
    </w:p>
    <w:p>
      <w:pPr>
        <w:pStyle w:val="Heading1"/>
      </w:pPr>
      <w:r>
        <w:t>Long description</w:t>
      </w:r>
    </w:p>
    <w:p>
      <w:r>
        <w:t>LogoVary is a multilingual, standalone Windows desktop application for logo variation, colourway management and professional client delivery. It is designed for the stage that comes after the creative logo has been approved - when designers still need to prepare multiple practical versions, alternate colourways, production formats and an organised handoff for the client.</w:t>
        <w:br/>
        <w:br/>
        <w:t>The workflow begins with a protected Original Master, keeping the approved artwork as the trusted reference. SVG artwork can continue directly into the production workflow, while PNG, JPG and WebP logos can be converted locally into editable vector paths. Designers can then organise reusable components and use the Variant Matrix to see Original, Full Colour, Black, White, Grayscale, Reverse and Custom versions together.</w:t>
        <w:br/>
        <w:br/>
        <w:t>LogoVary also includes Colour Concepts for exploring coordinated whole-logo colour directions, detailed Colour Refinement controls, RGB/CMYK/Spot colour workflows, multiple Colourway Masters, project Save/Open, multilingual interface support, and Light/Dark/System appearance options.</w:t>
        <w:br/>
        <w:br/>
        <w:t>At delivery time, LogoVary can prepare SVG, PNG, JPG, WebP, PDF and EPS outputs where applicable, organise them into a structured client package, validate the result, create manifest and package information files, generate SHA-256 checksums and include an offline START-HERE HTML reference for the recipient.</w:t>
        <w:br/>
        <w:br/>
        <w:t>LogoVary is not intended to replace Illustrator, Affinity Designer, Figma, Canva or other design software. It is a focused companion for the repetitive production, variation and handoff work that follows logo approval.</w:t>
      </w:r>
    </w:p>
    <w:tbl>
      <w:tblPr>
        <w:tblW w:type="auto" w:w="0"/>
        <w:jc w:val="center"/>
        <w:tblLook w:firstColumn="1" w:firstRow="1" w:lastColumn="0" w:lastRow="0" w:noHBand="0" w:noVBand="1" w:val="04A0"/>
      </w:tblPr>
      <w:tblGrid>
        <w:gridCol w:w="10368"/>
      </w:tblGrid>
      <w:tr>
        <w:tc>
          <w:tcPr>
            <w:tcW w:type="dxa" w:w="10368"/>
            <w:shd w:fill="EAF6FF"/>
            <w:tcMar>
              <w:top w:w="170" w:type="dxa"/>
              <w:start w:w="190" w:type="dxa"/>
              <w:bottom w:w="170" w:type="dxa"/>
              <w:end w:w="190" w:type="dxa"/>
            </w:tcMar>
          </w:tcPr>
          <w:p>
            <w:r>
              <w:rPr>
                <w:b/>
                <w:color w:val="082B58"/>
                <w:sz w:val="22"/>
              </w:rPr>
              <w:t>Affiliate tip</w:t>
            </w:r>
          </w:p>
          <w:p>
            <w:pPr>
              <w:spacing w:after="0"/>
            </w:pPr>
            <w:r>
              <w:rPr>
                <w:color w:val="132B46"/>
                <w:sz w:val="20"/>
              </w:rPr>
              <w:t>Feel free to adapt the tone for your audience, but keep the product claims and technical details accurate.</w:t>
            </w:r>
          </w:p>
        </w:tc>
      </w:tr>
    </w:tbl>
    <w:p>
      <w:pPr>
        <w:spacing w:after="40"/>
      </w:pPr>
    </w:p>
    <w:sectPr w:rsidR="00FC693F" w:rsidRPr="0006063C" w:rsidSect="00034616">
      <w:footerReference w:type="default" r:id="rId10"/>
      <w:pgSz w:w="12240" w:h="15840"/>
      <w:pgMar w:top="792" w:right="936" w:bottom="792"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60758A"/>
        <w:sz w:val="16"/>
      </w:rPr>
      <w:t>LogoVary Affiliate Promo Kit · HelpfulByte · Affiliate use only</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color w:val="132B46"/>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082B58"/>
      <w:sz w:val="3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0873EF"/>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082B58"/>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rial" w:hAnsi="Arial"/>
      <w:b/>
      <w:color w:val="082B58"/>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